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C8327F" w:rsidRDefault="00F92268" w:rsidP="00850792">
      <w:pPr>
        <w:pStyle w:val="BodyText"/>
        <w:rPr>
          <w:sz w:val="6"/>
          <w:szCs w:val="6"/>
        </w:rPr>
      </w:pPr>
      <w:r w:rsidRPr="00C8327F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C8327F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C8327F" w:rsidRDefault="00F92268" w:rsidP="001A4439">
            <w:pPr>
              <w:pStyle w:val="RefTableData"/>
            </w:pPr>
            <w:r w:rsidRPr="00C8327F">
              <w:t>Reference number(s)</w:t>
            </w:r>
          </w:p>
        </w:tc>
      </w:tr>
      <w:tr w:rsidR="00F92268" w:rsidRPr="00C8327F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1F8F680" w:rsidR="00F92268" w:rsidRPr="00C8327F" w:rsidRDefault="001A4439" w:rsidP="001A4439">
            <w:pPr>
              <w:pStyle w:val="RefTableData"/>
            </w:pPr>
            <w:r w:rsidRPr="00C8327F">
              <w:t>2258-A</w:t>
            </w:r>
          </w:p>
        </w:tc>
      </w:tr>
    </w:tbl>
    <w:p w14:paraId="74FBA5B4" w14:textId="77777777" w:rsidR="00051356" w:rsidRPr="00C8327F" w:rsidRDefault="00051356" w:rsidP="00A672B3">
      <w:pPr>
        <w:pStyle w:val="BodyText"/>
        <w:rPr>
          <w:b/>
          <w:bCs/>
          <w:sz w:val="16"/>
          <w:szCs w:val="16"/>
        </w:rPr>
        <w:sectPr w:rsidR="00051356" w:rsidRPr="00C8327F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1714FEA" w:rsidR="004B15BB" w:rsidRPr="00C8327F" w:rsidRDefault="005C56D2" w:rsidP="00610FF5">
      <w:pPr>
        <w:pStyle w:val="Heading1"/>
      </w:pPr>
      <w:r w:rsidRPr="00C8327F">
        <w:t>Specialty Guideline Management</w:t>
      </w:r>
      <w:r w:rsidR="00B7786F">
        <w:t xml:space="preserve"> a</w:t>
      </w:r>
      <w:r w:rsidR="00B7786F" w:rsidRPr="00C8327F">
        <w:t>pomorphine</w:t>
      </w:r>
      <w:r w:rsidR="00B7786F">
        <w:t>-</w:t>
      </w:r>
      <w:r w:rsidRPr="00C8327F">
        <w:t>Apokyn</w:t>
      </w:r>
      <w:r w:rsidR="00610FF5">
        <w:t>-</w:t>
      </w:r>
      <w:r w:rsidRPr="00C8327F">
        <w:t>Kynmobi</w:t>
      </w:r>
    </w:p>
    <w:p w14:paraId="78861C92" w14:textId="6AD41DB6" w:rsidR="00203468" w:rsidRPr="00C8327F" w:rsidRDefault="00C64534" w:rsidP="008E0F0D">
      <w:pPr>
        <w:pStyle w:val="Heading2"/>
      </w:pPr>
      <w:r w:rsidRPr="00C8327F">
        <w:t xml:space="preserve">Products Referenced by this </w:t>
      </w:r>
      <w:r w:rsidR="00501602" w:rsidRPr="00C8327F">
        <w:t>Document</w:t>
      </w:r>
    </w:p>
    <w:p w14:paraId="5455152B" w14:textId="431370AA" w:rsidR="008E0F0D" w:rsidRPr="00C8327F" w:rsidRDefault="00D82D85" w:rsidP="008B73E8">
      <w:pPr>
        <w:pStyle w:val="BodyText"/>
      </w:pPr>
      <w:r w:rsidRPr="00C8327F">
        <w:t xml:space="preserve">Drugs that are listed in the </w:t>
      </w:r>
      <w:r w:rsidR="000315F1" w:rsidRPr="00C8327F">
        <w:t>following table</w:t>
      </w:r>
      <w:r w:rsidRPr="00C8327F">
        <w:t xml:space="preserve"> include both brand and generic and all dosage forms and strengths unless otherwise stated. </w:t>
      </w:r>
      <w:r w:rsidR="00467232" w:rsidRPr="00467232">
        <w:t>Over-the-counter (OTC)</w:t>
      </w:r>
      <w:r w:rsidR="005838A9">
        <w:t xml:space="preserve"> </w:t>
      </w:r>
      <w:r w:rsidRPr="00C8327F">
        <w:t>products are not included unless otherwise stated.</w:t>
      </w:r>
    </w:p>
    <w:tbl>
      <w:tblPr>
        <w:tblStyle w:val="TableGrid"/>
        <w:tblW w:w="1068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340"/>
        <w:gridCol w:w="5340"/>
      </w:tblGrid>
      <w:tr w:rsidR="001777B2" w:rsidRPr="00C8327F" w14:paraId="457CEE36" w14:textId="77777777" w:rsidTr="001777B2">
        <w:trPr>
          <w:cantSplit/>
          <w:trHeight w:val="288"/>
          <w:tblHeader/>
        </w:trPr>
        <w:tc>
          <w:tcPr>
            <w:tcW w:w="5340" w:type="dxa"/>
            <w:vAlign w:val="center"/>
          </w:tcPr>
          <w:p w14:paraId="74FADDC6" w14:textId="77777777" w:rsidR="001777B2" w:rsidRPr="00C8327F" w:rsidRDefault="001777B2">
            <w:pPr>
              <w:pStyle w:val="TableHeader"/>
            </w:pPr>
            <w:r w:rsidRPr="00C8327F">
              <w:t>Brand Name</w:t>
            </w:r>
          </w:p>
        </w:tc>
        <w:tc>
          <w:tcPr>
            <w:tcW w:w="5340" w:type="dxa"/>
          </w:tcPr>
          <w:p w14:paraId="571AE219" w14:textId="77777777" w:rsidR="001777B2" w:rsidRPr="00C8327F" w:rsidRDefault="001777B2">
            <w:pPr>
              <w:pStyle w:val="TableHeader"/>
            </w:pPr>
            <w:r w:rsidRPr="00C8327F">
              <w:t>Generic Name</w:t>
            </w:r>
          </w:p>
        </w:tc>
      </w:tr>
      <w:tr w:rsidR="001777B2" w:rsidRPr="00C8327F" w14:paraId="311A3451" w14:textId="77777777" w:rsidTr="001777B2">
        <w:trPr>
          <w:cantSplit/>
          <w:trHeight w:val="217"/>
        </w:trPr>
        <w:tc>
          <w:tcPr>
            <w:tcW w:w="5340" w:type="dxa"/>
          </w:tcPr>
          <w:p w14:paraId="64CB6BA6" w14:textId="038B4B5A" w:rsidR="001777B2" w:rsidRPr="00C8327F" w:rsidRDefault="001777B2">
            <w:pPr>
              <w:pStyle w:val="TableDataUnpadded"/>
              <w:rPr>
                <w:bCs/>
              </w:rPr>
            </w:pPr>
            <w:r w:rsidRPr="00C8327F">
              <w:rPr>
                <w:color w:val="000000" w:themeColor="text1"/>
              </w:rPr>
              <w:t>Apokyn</w:t>
            </w:r>
          </w:p>
        </w:tc>
        <w:tc>
          <w:tcPr>
            <w:tcW w:w="5340" w:type="dxa"/>
          </w:tcPr>
          <w:p w14:paraId="6AEDBDEE" w14:textId="23D559A8" w:rsidR="001777B2" w:rsidRPr="00C8327F" w:rsidRDefault="001777B2">
            <w:pPr>
              <w:pStyle w:val="TableDataUnpadded"/>
            </w:pPr>
            <w:r>
              <w:rPr>
                <w:color w:val="000000" w:themeColor="text1"/>
              </w:rPr>
              <w:t>a</w:t>
            </w:r>
            <w:r w:rsidRPr="00C8327F">
              <w:rPr>
                <w:color w:val="000000" w:themeColor="text1"/>
              </w:rPr>
              <w:t xml:space="preserve">pomorphine </w:t>
            </w:r>
            <w:r>
              <w:rPr>
                <w:color w:val="000000" w:themeColor="text1"/>
              </w:rPr>
              <w:t>h</w:t>
            </w:r>
            <w:r w:rsidRPr="00C8327F">
              <w:rPr>
                <w:color w:val="000000" w:themeColor="text1"/>
              </w:rPr>
              <w:t>ydrochloride</w:t>
            </w:r>
          </w:p>
        </w:tc>
      </w:tr>
      <w:tr w:rsidR="001777B2" w:rsidRPr="00C8327F" w14:paraId="4D1B7011" w14:textId="77777777" w:rsidTr="001777B2">
        <w:trPr>
          <w:cantSplit/>
        </w:trPr>
        <w:tc>
          <w:tcPr>
            <w:tcW w:w="5340" w:type="dxa"/>
          </w:tcPr>
          <w:p w14:paraId="5555D4C0" w14:textId="080AEC53" w:rsidR="001777B2" w:rsidRPr="00C8327F" w:rsidRDefault="001777B2">
            <w:pPr>
              <w:pStyle w:val="TableDataUnpadded"/>
            </w:pPr>
            <w:r w:rsidRPr="00C8327F">
              <w:rPr>
                <w:color w:val="000000" w:themeColor="text1"/>
              </w:rPr>
              <w:t>Kynmobi</w:t>
            </w:r>
          </w:p>
        </w:tc>
        <w:tc>
          <w:tcPr>
            <w:tcW w:w="5340" w:type="dxa"/>
          </w:tcPr>
          <w:p w14:paraId="58CFB4F9" w14:textId="2803783B" w:rsidR="001777B2" w:rsidRPr="00C8327F" w:rsidRDefault="001777B2">
            <w:pPr>
              <w:pStyle w:val="TableDataUnpadded"/>
            </w:pPr>
            <w:r>
              <w:rPr>
                <w:color w:val="000000" w:themeColor="text1"/>
              </w:rPr>
              <w:t>a</w:t>
            </w:r>
            <w:r w:rsidRPr="00C8327F">
              <w:rPr>
                <w:color w:val="000000" w:themeColor="text1"/>
              </w:rPr>
              <w:t xml:space="preserve">pomorphine </w:t>
            </w:r>
            <w:r>
              <w:rPr>
                <w:color w:val="000000" w:themeColor="text1"/>
              </w:rPr>
              <w:t>h</w:t>
            </w:r>
            <w:r w:rsidRPr="00C8327F">
              <w:rPr>
                <w:color w:val="000000" w:themeColor="text1"/>
              </w:rPr>
              <w:t>ydrochloride</w:t>
            </w:r>
          </w:p>
        </w:tc>
      </w:tr>
    </w:tbl>
    <w:p w14:paraId="14CE6108" w14:textId="19C39CF7" w:rsidR="00FC1AAD" w:rsidRPr="00C8327F" w:rsidRDefault="00ED052F" w:rsidP="00AA2A94">
      <w:pPr>
        <w:pStyle w:val="Heading2"/>
        <w:tabs>
          <w:tab w:val="left" w:pos="9540"/>
        </w:tabs>
      </w:pPr>
      <w:r w:rsidRPr="00C8327F">
        <w:t>Indications</w:t>
      </w:r>
    </w:p>
    <w:p w14:paraId="4B6456C5" w14:textId="77777777" w:rsidR="005C56D2" w:rsidRPr="00C8327F" w:rsidRDefault="005C56D2" w:rsidP="005C56D2">
      <w:pPr>
        <w:pStyle w:val="BodyText"/>
      </w:pPr>
      <w:r w:rsidRPr="00C8327F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575C9D48" w:rsidR="00ED052F" w:rsidRPr="00C8327F" w:rsidRDefault="00ED052F" w:rsidP="00ED052F">
      <w:pPr>
        <w:pStyle w:val="Heading3"/>
        <w:keepNext w:val="0"/>
      </w:pPr>
      <w:r w:rsidRPr="00C8327F">
        <w:t>FDA-</w:t>
      </w:r>
      <w:r w:rsidR="00D67927">
        <w:t>a</w:t>
      </w:r>
      <w:r w:rsidRPr="00C8327F">
        <w:t>pproved Indications</w:t>
      </w:r>
      <w:r w:rsidR="005C56D2" w:rsidRPr="00C8327F">
        <w:rPr>
          <w:vertAlign w:val="superscript"/>
        </w:rPr>
        <w:t>1-</w:t>
      </w:r>
      <w:r w:rsidR="00797C1F">
        <w:rPr>
          <w:vertAlign w:val="superscript"/>
        </w:rPr>
        <w:t>3</w:t>
      </w:r>
    </w:p>
    <w:p w14:paraId="583F0245" w14:textId="77777777" w:rsidR="005C56D2" w:rsidRPr="00C8327F" w:rsidRDefault="005C56D2" w:rsidP="00C8327F">
      <w:pPr>
        <w:pStyle w:val="BodyText"/>
      </w:pPr>
      <w:r w:rsidRPr="00C8327F">
        <w:t>Apokyn is indicated for the acute, intermittent treatment of hypomobility, “off” episodes (“end-of-dose wearing off” and unpredictable “on/off” episodes) in patients with advanced Parkinson’s disease.</w:t>
      </w:r>
    </w:p>
    <w:p w14:paraId="31B9C06B" w14:textId="77777777" w:rsidR="005C56D2" w:rsidRPr="00C8327F" w:rsidRDefault="005C56D2" w:rsidP="005C56D2">
      <w:pPr>
        <w:pStyle w:val="BodyText"/>
      </w:pPr>
      <w:r w:rsidRPr="00C8327F">
        <w:t>Kynmobi is indicated for the acute, intermittent treatment of “off” episodes in patients with Parkinson’s disease (PD).</w:t>
      </w:r>
    </w:p>
    <w:p w14:paraId="615A29AA" w14:textId="77777777" w:rsidR="005C56D2" w:rsidRPr="00C8327F" w:rsidRDefault="005C56D2" w:rsidP="005C56D2">
      <w:pPr>
        <w:pStyle w:val="BodyText"/>
      </w:pPr>
      <w:r w:rsidRPr="00C8327F">
        <w:t>All other indications are considered experimental/investigational and not medically necessary.</w:t>
      </w:r>
    </w:p>
    <w:p w14:paraId="50A38FBA" w14:textId="6AB3E979" w:rsidR="00FE0C63" w:rsidRPr="00C8327F" w:rsidRDefault="00685107" w:rsidP="00280EB7">
      <w:pPr>
        <w:pStyle w:val="Heading2"/>
        <w:tabs>
          <w:tab w:val="left" w:pos="4891"/>
        </w:tabs>
      </w:pPr>
      <w:r w:rsidRPr="00C8327F">
        <w:lastRenderedPageBreak/>
        <w:t>Coverage Criteria</w:t>
      </w:r>
    </w:p>
    <w:p w14:paraId="3789DC46" w14:textId="545D1DC9" w:rsidR="005C56D2" w:rsidRPr="00C8327F" w:rsidRDefault="005C56D2" w:rsidP="005C56D2">
      <w:pPr>
        <w:pStyle w:val="Heading3"/>
      </w:pPr>
      <w:r w:rsidRPr="00C8327F">
        <w:t xml:space="preserve">Parkinson’s </w:t>
      </w:r>
      <w:r w:rsidR="00C8327F" w:rsidRPr="00C8327F">
        <w:t>Disease</w:t>
      </w:r>
      <w:r w:rsidR="00C8327F" w:rsidRPr="00C8327F">
        <w:rPr>
          <w:vertAlign w:val="superscript"/>
        </w:rPr>
        <w:t>1</w:t>
      </w:r>
      <w:r w:rsidRPr="00C8327F">
        <w:rPr>
          <w:vertAlign w:val="superscript"/>
        </w:rPr>
        <w:t>-6</w:t>
      </w:r>
    </w:p>
    <w:p w14:paraId="5A47E825" w14:textId="170AB9A9" w:rsidR="005C56D2" w:rsidRPr="00C8327F" w:rsidRDefault="005C56D2" w:rsidP="005C56D2">
      <w:pPr>
        <w:pStyle w:val="BodyText"/>
      </w:pPr>
      <w:r w:rsidRPr="00C8327F">
        <w:t>Authorization of 6 months may be granted for acute, intermittent treatment of “off” episodes in members with Parkinson’s disease when all of the following criteria are met:</w:t>
      </w:r>
    </w:p>
    <w:p w14:paraId="13A1B0A8" w14:textId="77777777" w:rsidR="005C56D2" w:rsidRPr="00C8327F" w:rsidRDefault="005C56D2" w:rsidP="00C8327F">
      <w:pPr>
        <w:pStyle w:val="ListParagraph"/>
        <w:numPr>
          <w:ilvl w:val="0"/>
          <w:numId w:val="35"/>
        </w:numPr>
        <w:contextualSpacing w:val="0"/>
      </w:pPr>
      <w:r w:rsidRPr="00C8327F">
        <w:t>The member experiences at least 2 hours per day of “off” time.</w:t>
      </w:r>
    </w:p>
    <w:p w14:paraId="3D02E603" w14:textId="77777777" w:rsidR="005C56D2" w:rsidRPr="00C8327F" w:rsidRDefault="005C56D2" w:rsidP="00C8327F">
      <w:pPr>
        <w:pStyle w:val="ListParagraph"/>
        <w:numPr>
          <w:ilvl w:val="0"/>
          <w:numId w:val="35"/>
        </w:numPr>
        <w:contextualSpacing w:val="0"/>
      </w:pPr>
      <w:r w:rsidRPr="00C8327F">
        <w:t>The member is currently being treated with carbidopa/levodopa.</w:t>
      </w:r>
    </w:p>
    <w:p w14:paraId="333ED7C8" w14:textId="77777777" w:rsidR="005C56D2" w:rsidRPr="00C8327F" w:rsidRDefault="005C56D2" w:rsidP="00C8327F">
      <w:pPr>
        <w:pStyle w:val="ListParagraph"/>
        <w:numPr>
          <w:ilvl w:val="0"/>
          <w:numId w:val="35"/>
        </w:numPr>
        <w:contextualSpacing w:val="0"/>
      </w:pPr>
      <w:r w:rsidRPr="00C8327F">
        <w:t>Attempts to manage “off” episodes by adjusting the dosing or formulation of carbidopa/levodopa were ineffective.</w:t>
      </w:r>
    </w:p>
    <w:p w14:paraId="0CE8F391" w14:textId="77777777" w:rsidR="005C56D2" w:rsidRPr="00C8327F" w:rsidRDefault="005C56D2" w:rsidP="00C8327F">
      <w:pPr>
        <w:pStyle w:val="ListParagraph"/>
        <w:numPr>
          <w:ilvl w:val="0"/>
          <w:numId w:val="35"/>
        </w:numPr>
        <w:contextualSpacing w:val="0"/>
      </w:pPr>
      <w:r w:rsidRPr="00C8327F">
        <w:t xml:space="preserve">Treatment with carbidopa/levodopa plus one of the following therapies was ineffective at managing “off” episodes: </w:t>
      </w:r>
    </w:p>
    <w:p w14:paraId="5FD4C855" w14:textId="77777777" w:rsidR="005C56D2" w:rsidRPr="00C41E34" w:rsidRDefault="005C56D2" w:rsidP="00C8327F">
      <w:pPr>
        <w:pStyle w:val="ListParagraph"/>
        <w:numPr>
          <w:ilvl w:val="1"/>
          <w:numId w:val="36"/>
        </w:numPr>
        <w:contextualSpacing w:val="0"/>
        <w:rPr>
          <w:lang w:val="it-IT"/>
        </w:rPr>
      </w:pPr>
      <w:r w:rsidRPr="00C41E34">
        <w:rPr>
          <w:lang w:val="it-IT"/>
        </w:rPr>
        <w:t>Dopamine agonist (e.g., pramipexole, ropinirole)</w:t>
      </w:r>
    </w:p>
    <w:p w14:paraId="011649BD" w14:textId="11814E75" w:rsidR="005C56D2" w:rsidRPr="00C41E34" w:rsidRDefault="005C56D2" w:rsidP="00C8327F">
      <w:pPr>
        <w:pStyle w:val="ListParagraph"/>
        <w:numPr>
          <w:ilvl w:val="1"/>
          <w:numId w:val="36"/>
        </w:numPr>
        <w:contextualSpacing w:val="0"/>
        <w:rPr>
          <w:lang w:val="it-IT"/>
        </w:rPr>
      </w:pPr>
      <w:r w:rsidRPr="00C41E34">
        <w:rPr>
          <w:lang w:val="it-IT"/>
        </w:rPr>
        <w:t>Monoamine oxidase</w:t>
      </w:r>
      <w:r w:rsidR="001604B3">
        <w:rPr>
          <w:lang w:val="it-IT"/>
        </w:rPr>
        <w:t>-</w:t>
      </w:r>
      <w:r w:rsidRPr="00C41E34">
        <w:rPr>
          <w:lang w:val="it-IT"/>
        </w:rPr>
        <w:t>B (MAO-B) inhibitor (e.g., selegiline, rasagiline)</w:t>
      </w:r>
    </w:p>
    <w:p w14:paraId="4F177781" w14:textId="28AB8B9D" w:rsidR="005C56D2" w:rsidRPr="00C8327F" w:rsidRDefault="005C56D2" w:rsidP="00C8327F">
      <w:pPr>
        <w:pStyle w:val="ListParagraph"/>
        <w:numPr>
          <w:ilvl w:val="1"/>
          <w:numId w:val="36"/>
        </w:numPr>
        <w:contextualSpacing w:val="0"/>
      </w:pPr>
      <w:r w:rsidRPr="00C8327F">
        <w:t>Catechol-O-methyltransferase (COMT) inhibitor (e.g., entacapone, tolcapone)</w:t>
      </w:r>
    </w:p>
    <w:p w14:paraId="3A643EC3" w14:textId="72E8C015" w:rsidR="00A501AC" w:rsidRPr="00C8327F" w:rsidRDefault="00A501AC" w:rsidP="00A501AC">
      <w:pPr>
        <w:pStyle w:val="Heading2"/>
      </w:pPr>
      <w:r w:rsidRPr="00C8327F">
        <w:t>Continuation of Therapy</w:t>
      </w:r>
    </w:p>
    <w:p w14:paraId="12C9C867" w14:textId="5817C6D9" w:rsidR="005C56D2" w:rsidRPr="00C8327F" w:rsidRDefault="005C56D2" w:rsidP="005C56D2">
      <w:pPr>
        <w:pStyle w:val="BodyText"/>
      </w:pPr>
      <w:r w:rsidRPr="00C8327F">
        <w:t xml:space="preserve">Authorization of 12 months may be granted for continued acute, intermittent treatment of “off” episodes in members with Parkinson’s disease when both of the following criteria are met: </w:t>
      </w:r>
    </w:p>
    <w:p w14:paraId="6219C041" w14:textId="77777777" w:rsidR="005C56D2" w:rsidRPr="00C8327F" w:rsidRDefault="005C56D2" w:rsidP="00C8327F">
      <w:pPr>
        <w:pStyle w:val="ListParagraph"/>
        <w:numPr>
          <w:ilvl w:val="0"/>
          <w:numId w:val="38"/>
        </w:numPr>
        <w:contextualSpacing w:val="0"/>
      </w:pPr>
      <w:r w:rsidRPr="00C8327F">
        <w:t>The member is currently being treated with carbidopa/levodopa.</w:t>
      </w:r>
    </w:p>
    <w:p w14:paraId="10F1573B" w14:textId="77777777" w:rsidR="005C56D2" w:rsidRPr="00C8327F" w:rsidRDefault="005C56D2" w:rsidP="00C8327F">
      <w:pPr>
        <w:pStyle w:val="ListParagraph"/>
        <w:numPr>
          <w:ilvl w:val="0"/>
          <w:numId w:val="38"/>
        </w:numPr>
        <w:contextualSpacing w:val="0"/>
      </w:pPr>
      <w:r w:rsidRPr="00C8327F">
        <w:t xml:space="preserve">The member is experiencing improvement </w:t>
      </w:r>
      <w:bookmarkStart w:id="0" w:name="OLE_LINK45"/>
      <w:r w:rsidRPr="00C8327F">
        <w:t xml:space="preserve">with the requested medication </w:t>
      </w:r>
      <w:bookmarkEnd w:id="0"/>
      <w:r w:rsidRPr="00C8327F">
        <w:t>(e.g., reduction in daily “off” time, improvement in motor function post-administration).</w:t>
      </w:r>
    </w:p>
    <w:p w14:paraId="10DA4309" w14:textId="00695D37" w:rsidR="00FF66BF" w:rsidRPr="00C8327F" w:rsidRDefault="00FF66BF" w:rsidP="00FF66BF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C8327F">
        <w:t>References</w:t>
      </w:r>
    </w:p>
    <w:p w14:paraId="5E8544BD" w14:textId="77777777" w:rsidR="005C56D2" w:rsidRPr="00C8327F" w:rsidRDefault="005C56D2" w:rsidP="00C8327F">
      <w:pPr>
        <w:pStyle w:val="ReferenceOrdered"/>
      </w:pPr>
      <w:r w:rsidRPr="00C8327F">
        <w:t>Apokyn [package insert]. Rockville, MD: Supernus Pharmaceuticals, Inc.; June 2022.</w:t>
      </w:r>
    </w:p>
    <w:p w14:paraId="7B6D563E" w14:textId="7A413C31" w:rsidR="007E25FB" w:rsidRPr="00C8327F" w:rsidRDefault="007E25FB" w:rsidP="007E25FB">
      <w:pPr>
        <w:pStyle w:val="ReferenceOrdered"/>
      </w:pPr>
      <w:r w:rsidRPr="00C8327F">
        <w:t>Apomorphine hydrochloride</w:t>
      </w:r>
      <w:r w:rsidR="00694DC6">
        <w:t xml:space="preserve"> injection</w:t>
      </w:r>
      <w:r w:rsidRPr="00C8327F">
        <w:t xml:space="preserve"> [package insert]. Lee, MA: Berkshire Sterile Manufacturing, Inc.; February 2022.</w:t>
      </w:r>
    </w:p>
    <w:p w14:paraId="39AAF0FC" w14:textId="1574B3BA" w:rsidR="005C56D2" w:rsidRPr="00C8327F" w:rsidRDefault="005C56D2" w:rsidP="00C8327F">
      <w:pPr>
        <w:pStyle w:val="ReferenceOrdered"/>
      </w:pPr>
      <w:r w:rsidRPr="00C8327F">
        <w:t xml:space="preserve">Kynmobi [package insert]. Marlborough, MA: Sunovion Pharmaceuticals Inc.; </w:t>
      </w:r>
      <w:r w:rsidR="007E25FB">
        <w:t>September</w:t>
      </w:r>
      <w:r w:rsidR="007E25FB" w:rsidRPr="00C8327F">
        <w:t xml:space="preserve"> </w:t>
      </w:r>
      <w:r w:rsidRPr="00C8327F">
        <w:t>2022.</w:t>
      </w:r>
    </w:p>
    <w:p w14:paraId="0894A392" w14:textId="77777777" w:rsidR="007508AD" w:rsidRDefault="007508AD" w:rsidP="007508AD">
      <w:pPr>
        <w:pStyle w:val="ReferenceOrdered"/>
      </w:pPr>
      <w:bookmarkStart w:id="5" w:name="OLE_LINK3"/>
      <w:r>
        <w:t>National Institute for Health and Care Excellence (NICE) guideline: Parkinson’s disease in adults. Published July 19, 2017. Accessed August 12, 2024. https://www.nice.org.uk/guidance/ng71/resources/parkinsons-disease-in-adults-pdf-1837629189061.</w:t>
      </w:r>
    </w:p>
    <w:p w14:paraId="47E1A10C" w14:textId="7392C4EE" w:rsidR="00C44990" w:rsidRPr="009D095E" w:rsidRDefault="007508AD" w:rsidP="009D095E">
      <w:pPr>
        <w:pStyle w:val="ReferenceOrdered"/>
      </w:pPr>
      <w:r>
        <w:t xml:space="preserve">Fox SH, </w:t>
      </w:r>
      <w:proofErr w:type="spellStart"/>
      <w:r>
        <w:t>Katzenschlager</w:t>
      </w:r>
      <w:proofErr w:type="spellEnd"/>
      <w:r>
        <w:t xml:space="preserve"> R, Lim SY, et al. International Parkinson and movement disorder society evidence-based medicine review: update on treatments for the motor symptoms of Parkinson’s disease [published correction appears in Mov </w:t>
      </w:r>
      <w:proofErr w:type="spellStart"/>
      <w:r>
        <w:t>Disord</w:t>
      </w:r>
      <w:proofErr w:type="spellEnd"/>
      <w:r>
        <w:t xml:space="preserve">. 2018 Dec;33(12):1992]. Mov </w:t>
      </w:r>
      <w:proofErr w:type="spellStart"/>
      <w:r>
        <w:t>Disord</w:t>
      </w:r>
      <w:proofErr w:type="spellEnd"/>
      <w:r>
        <w:t>. 2018;33(8):1248-1266. doi:10.1002/mds.27372</w:t>
      </w:r>
      <w:bookmarkEnd w:id="5"/>
    </w:p>
    <w:sectPr w:rsidR="00C44990" w:rsidRPr="009D095E" w:rsidSect="00606480">
      <w:head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0F065" w14:textId="77777777" w:rsidR="00CE483E" w:rsidRDefault="00CE483E">
      <w:r>
        <w:separator/>
      </w:r>
    </w:p>
  </w:endnote>
  <w:endnote w:type="continuationSeparator" w:id="0">
    <w:p w14:paraId="19302AD4" w14:textId="77777777" w:rsidR="00CE483E" w:rsidRDefault="00CE483E">
      <w:r>
        <w:continuationSeparator/>
      </w:r>
    </w:p>
  </w:endnote>
  <w:endnote w:type="continuationNotice" w:id="1">
    <w:p w14:paraId="43769C94" w14:textId="77777777" w:rsidR="00CE483E" w:rsidRDefault="00CE4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702C470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92AD5">
      <w:rPr>
        <w:rFonts w:cs="Arial"/>
        <w:noProof/>
        <w:snapToGrid w:val="0"/>
        <w:color w:val="000000"/>
        <w:sz w:val="16"/>
        <w:szCs w:val="16"/>
      </w:rPr>
      <w:t>apomorphine-Apokyn-Kynmobi SGM</w:t>
    </w:r>
    <w:r w:rsidR="00A92AD5" w:rsidRPr="00A92AD5">
      <w:rPr>
        <w:rFonts w:cs="Arial"/>
        <w:noProof/>
        <w:sz w:val="16"/>
        <w:szCs w:val="16"/>
      </w:rPr>
      <w:t xml:space="preserve"> 2258-A</w:t>
    </w:r>
    <w:r w:rsidR="00A92AD5">
      <w:rPr>
        <w:rFonts w:cs="Arial"/>
        <w:noProof/>
        <w:snapToGrid w:val="0"/>
        <w:color w:val="000000"/>
        <w:sz w:val="16"/>
        <w:szCs w:val="16"/>
      </w:rPr>
      <w:t xml:space="preserve"> P2024_R.docx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4BD59D7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3F882341" w:rsidR="00F75C81" w:rsidRPr="001777B2" w:rsidRDefault="00C36B72" w:rsidP="001777B2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3A7AB0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A92AD5">
      <w:rPr>
        <w:rFonts w:cs="Arial"/>
        <w:noProof/>
        <w:snapToGrid w:val="0"/>
        <w:color w:val="000000"/>
        <w:sz w:val="16"/>
        <w:szCs w:val="16"/>
      </w:rPr>
      <w:t>apomorphine-Apokyn-Kynmobi</w:t>
    </w:r>
    <w:r w:rsidR="00A92AD5" w:rsidRPr="00A92AD5">
      <w:rPr>
        <w:rFonts w:cs="Arial"/>
        <w:noProof/>
        <w:sz w:val="16"/>
        <w:szCs w:val="16"/>
      </w:rPr>
      <w:t xml:space="preserve"> </w:t>
    </w:r>
    <w:r w:rsidR="00A92AD5">
      <w:rPr>
        <w:rFonts w:cs="Arial"/>
        <w:noProof/>
        <w:snapToGrid w:val="0"/>
        <w:color w:val="000000"/>
        <w:sz w:val="16"/>
        <w:szCs w:val="16"/>
      </w:rPr>
      <w:t xml:space="preserve">SGM </w:t>
    </w:r>
    <w:r w:rsidR="00A92AD5" w:rsidRPr="00A92AD5">
      <w:rPr>
        <w:rFonts w:cs="Arial"/>
        <w:noProof/>
        <w:sz w:val="16"/>
        <w:szCs w:val="16"/>
      </w:rPr>
      <w:t>2258-A P2024_R</w:t>
    </w:r>
    <w:r w:rsidR="00A92AD5">
      <w:rPr>
        <w:rFonts w:cs="Arial"/>
        <w:noProof/>
        <w:snapToGrid w:val="0"/>
        <w:color w:val="000000"/>
        <w:sz w:val="16"/>
        <w:szCs w:val="16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67FC153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B477096" w:rsidR="00ED04EC" w:rsidRPr="00F50D98" w:rsidRDefault="00F50D98" w:rsidP="009D095E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FD9E4" w14:textId="77777777" w:rsidR="00CE483E" w:rsidRDefault="00CE483E">
      <w:r>
        <w:separator/>
      </w:r>
    </w:p>
  </w:footnote>
  <w:footnote w:type="continuationSeparator" w:id="0">
    <w:p w14:paraId="6E53870D" w14:textId="77777777" w:rsidR="00CE483E" w:rsidRDefault="00CE483E">
      <w:r>
        <w:continuationSeparator/>
      </w:r>
    </w:p>
  </w:footnote>
  <w:footnote w:type="continuationNotice" w:id="1">
    <w:p w14:paraId="2635739C" w14:textId="77777777" w:rsidR="00CE483E" w:rsidRDefault="00CE48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1A4439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7AD21B5F" w:rsidR="00ED04EC" w:rsidRPr="004C7F1D" w:rsidRDefault="001A4439" w:rsidP="001A4439">
          <w:pPr>
            <w:pStyle w:val="RefTableData"/>
          </w:pPr>
          <w:r>
            <w:t>2258-A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1A4439" w:rsidRPr="00ED04EC" w14:paraId="19603E0F" w14:textId="77777777" w:rsidTr="00F61FD8">
      <w:trPr>
        <w:trHeight w:val="144"/>
        <w:jc w:val="right"/>
      </w:trPr>
      <w:tc>
        <w:tcPr>
          <w:tcW w:w="1854" w:type="dxa"/>
          <w:hideMark/>
        </w:tcPr>
        <w:p w14:paraId="2AABBC36" w14:textId="77777777" w:rsidR="001A4439" w:rsidRPr="00AA1E6A" w:rsidRDefault="001A4439" w:rsidP="001A4439">
          <w:pPr>
            <w:pStyle w:val="RefTableData"/>
          </w:pPr>
          <w:r w:rsidRPr="00AA1E6A">
            <w:t>Reference number(s)</w:t>
          </w:r>
        </w:p>
      </w:tc>
    </w:tr>
    <w:tr w:rsidR="001A4439" w:rsidRPr="00ED04EC" w14:paraId="65427DDC" w14:textId="77777777" w:rsidTr="00F61FD8">
      <w:trPr>
        <w:trHeight w:val="378"/>
        <w:jc w:val="right"/>
      </w:trPr>
      <w:tc>
        <w:tcPr>
          <w:tcW w:w="1854" w:type="dxa"/>
          <w:hideMark/>
        </w:tcPr>
        <w:p w14:paraId="1C398225" w14:textId="77777777" w:rsidR="001A4439" w:rsidRPr="004C7F1D" w:rsidRDefault="001A4439" w:rsidP="001A4439">
          <w:pPr>
            <w:pStyle w:val="RefTableData"/>
          </w:pPr>
          <w:r>
            <w:t>2258-A</w:t>
          </w:r>
        </w:p>
      </w:tc>
    </w:tr>
  </w:tbl>
  <w:p w14:paraId="7124C523" w14:textId="77777777" w:rsidR="001A4439" w:rsidRPr="001A4439" w:rsidRDefault="001A4439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5668E"/>
    <w:multiLevelType w:val="hybridMultilevel"/>
    <w:tmpl w:val="6C940B90"/>
    <w:lvl w:ilvl="0" w:tplc="AE2419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4F85449"/>
    <w:multiLevelType w:val="hybridMultilevel"/>
    <w:tmpl w:val="5BA431C6"/>
    <w:lvl w:ilvl="0" w:tplc="08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D4A47DB"/>
    <w:multiLevelType w:val="hybridMultilevel"/>
    <w:tmpl w:val="223E1302"/>
    <w:lvl w:ilvl="0" w:tplc="AF1EBE9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87DDB"/>
    <w:multiLevelType w:val="hybridMultilevel"/>
    <w:tmpl w:val="37FAD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650775"/>
    <w:multiLevelType w:val="hybridMultilevel"/>
    <w:tmpl w:val="967EF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01D97"/>
    <w:multiLevelType w:val="hybridMultilevel"/>
    <w:tmpl w:val="C8285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127FB"/>
    <w:multiLevelType w:val="hybridMultilevel"/>
    <w:tmpl w:val="018EE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8151C"/>
    <w:multiLevelType w:val="hybridMultilevel"/>
    <w:tmpl w:val="7400B15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D194C240">
      <w:start w:val="1"/>
      <w:numFmt w:val="decimal"/>
      <w:lvlText w:val="%2."/>
      <w:lvlJc w:val="left"/>
      <w:pPr>
        <w:ind w:left="1800" w:hanging="360"/>
      </w:pPr>
      <w:rPr>
        <w:rFonts w:ascii="Arial" w:eastAsia="Times New Roman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B7B43"/>
    <w:multiLevelType w:val="hybridMultilevel"/>
    <w:tmpl w:val="8FC2A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E51B4"/>
    <w:multiLevelType w:val="hybridMultilevel"/>
    <w:tmpl w:val="27D0C1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A18E4"/>
    <w:multiLevelType w:val="hybridMultilevel"/>
    <w:tmpl w:val="29309A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33"/>
  </w:num>
  <w:num w:numId="3" w16cid:durableId="611589570">
    <w:abstractNumId w:val="27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2"/>
  </w:num>
  <w:num w:numId="16" w16cid:durableId="898320195">
    <w:abstractNumId w:val="22"/>
  </w:num>
  <w:num w:numId="17" w16cid:durableId="2128498676">
    <w:abstractNumId w:val="36"/>
  </w:num>
  <w:num w:numId="18" w16cid:durableId="299724409">
    <w:abstractNumId w:val="29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7"/>
  </w:num>
  <w:num w:numId="22" w16cid:durableId="1472481103">
    <w:abstractNumId w:val="31"/>
  </w:num>
  <w:num w:numId="23" w16cid:durableId="1997420403">
    <w:abstractNumId w:val="34"/>
  </w:num>
  <w:num w:numId="24" w16cid:durableId="33312838">
    <w:abstractNumId w:val="30"/>
  </w:num>
  <w:num w:numId="25" w16cid:durableId="507404939">
    <w:abstractNumId w:val="20"/>
  </w:num>
  <w:num w:numId="26" w16cid:durableId="1950313333">
    <w:abstractNumId w:val="25"/>
  </w:num>
  <w:num w:numId="27" w16cid:durableId="1866016584">
    <w:abstractNumId w:val="24"/>
  </w:num>
  <w:num w:numId="28" w16cid:durableId="1161315933">
    <w:abstractNumId w:val="26"/>
  </w:num>
  <w:num w:numId="29" w16cid:durableId="2144810158">
    <w:abstractNumId w:val="23"/>
  </w:num>
  <w:num w:numId="30" w16cid:durableId="997877213">
    <w:abstractNumId w:val="18"/>
  </w:num>
  <w:num w:numId="31" w16cid:durableId="723213184">
    <w:abstractNumId w:val="35"/>
  </w:num>
  <w:num w:numId="32" w16cid:durableId="1892575639">
    <w:abstractNumId w:val="10"/>
  </w:num>
  <w:num w:numId="33" w16cid:durableId="288901702">
    <w:abstractNumId w:val="19"/>
  </w:num>
  <w:num w:numId="34" w16cid:durableId="427164309">
    <w:abstractNumId w:val="16"/>
  </w:num>
  <w:num w:numId="35" w16cid:durableId="1876693120">
    <w:abstractNumId w:val="21"/>
  </w:num>
  <w:num w:numId="36" w16cid:durableId="779375865">
    <w:abstractNumId w:val="32"/>
  </w:num>
  <w:num w:numId="37" w16cid:durableId="604119155">
    <w:abstractNumId w:val="11"/>
  </w:num>
  <w:num w:numId="38" w16cid:durableId="288514953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4E0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1D1"/>
    <w:rsid w:val="00095B9C"/>
    <w:rsid w:val="000962BB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371C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A6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04B3"/>
    <w:rsid w:val="00162951"/>
    <w:rsid w:val="001630B4"/>
    <w:rsid w:val="00165258"/>
    <w:rsid w:val="00165670"/>
    <w:rsid w:val="00165A99"/>
    <w:rsid w:val="001675AA"/>
    <w:rsid w:val="00170325"/>
    <w:rsid w:val="00173AB9"/>
    <w:rsid w:val="00174666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7B2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64B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439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1D4E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195E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4ABD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B7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F88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A3B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433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27F8B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232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497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1757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6724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38A9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4BC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56D2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85F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480"/>
    <w:rsid w:val="00606DBB"/>
    <w:rsid w:val="006077A7"/>
    <w:rsid w:val="00607959"/>
    <w:rsid w:val="0060798E"/>
    <w:rsid w:val="00610F93"/>
    <w:rsid w:val="00610FBE"/>
    <w:rsid w:val="00610FF5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77DFC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4DC6"/>
    <w:rsid w:val="00696343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0C1E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08AD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5F73"/>
    <w:rsid w:val="00796193"/>
    <w:rsid w:val="007963DF"/>
    <w:rsid w:val="00796772"/>
    <w:rsid w:val="00796F80"/>
    <w:rsid w:val="00797128"/>
    <w:rsid w:val="00797531"/>
    <w:rsid w:val="00797A9A"/>
    <w:rsid w:val="00797C1F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5FB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76B24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87F2A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6AF9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2374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95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1F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11E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2AD5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88F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B4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CE8"/>
    <w:rsid w:val="00B42F63"/>
    <w:rsid w:val="00B43641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4C8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86F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1889"/>
    <w:rsid w:val="00BA2050"/>
    <w:rsid w:val="00BA20D0"/>
    <w:rsid w:val="00BA27A1"/>
    <w:rsid w:val="00BA2EEB"/>
    <w:rsid w:val="00BA2EFA"/>
    <w:rsid w:val="00BA2F74"/>
    <w:rsid w:val="00BA4AF9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B704D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0B2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5C4A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1E34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327F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4C2D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45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3E"/>
    <w:rsid w:val="00CE4870"/>
    <w:rsid w:val="00CE61C3"/>
    <w:rsid w:val="00CE6A0D"/>
    <w:rsid w:val="00CE71E6"/>
    <w:rsid w:val="00CE7284"/>
    <w:rsid w:val="00CE72B8"/>
    <w:rsid w:val="00CE76BE"/>
    <w:rsid w:val="00CF02A3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043C"/>
    <w:rsid w:val="00D6162B"/>
    <w:rsid w:val="00D64807"/>
    <w:rsid w:val="00D6549B"/>
    <w:rsid w:val="00D65533"/>
    <w:rsid w:val="00D665CC"/>
    <w:rsid w:val="00D67252"/>
    <w:rsid w:val="00D67927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17F"/>
    <w:rsid w:val="00E1542D"/>
    <w:rsid w:val="00E159FD"/>
    <w:rsid w:val="00E15EC4"/>
    <w:rsid w:val="00E165CF"/>
    <w:rsid w:val="00E166ED"/>
    <w:rsid w:val="00E1699F"/>
    <w:rsid w:val="00E207A9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6F1C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17D2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3AD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B59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72E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576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A5D8-1CAA-4F07-8DFE-164A31148365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412</Words>
  <Characters>2752</Characters>
  <Application>Microsoft Office Word</Application>
  <DocSecurity>0</DocSecurity>
  <Lines>64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apomorphine-Apokyn-Kynmobi 2258-A SGM 2023</vt:lpstr>
    </vt:vector>
  </TitlesOfParts>
  <Company>PCS Health Systems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apomorphine-Apokyn-Kynmobi 2258-A SGM 2023</dc:title>
  <dc:subject/>
  <dc:creator>CVS Caremark</dc:creator>
  <cp:keywords/>
  <cp:lastModifiedBy>Ortiz, Erica M</cp:lastModifiedBy>
  <cp:revision>31</cp:revision>
  <cp:lastPrinted>2018-01-09T08:01:00Z</cp:lastPrinted>
  <dcterms:created xsi:type="dcterms:W3CDTF">2024-07-17T08:02:00Z</dcterms:created>
  <dcterms:modified xsi:type="dcterms:W3CDTF">2025-01-22T22:44:00Z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12725400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